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6C44AB1B"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183C4C">
        <w:rPr>
          <w:rFonts w:asciiTheme="minorHAnsi" w:hAnsiTheme="minorHAnsi" w:cstheme="minorHAnsi"/>
          <w:b/>
          <w:bCs/>
          <w:szCs w:val="19"/>
          <w:lang w:val="fr-FR"/>
        </w:rPr>
        <w:t>4 février</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r w:rsidR="00183C4C">
        <w:rPr>
          <w:rFonts w:asciiTheme="minorHAnsi" w:hAnsiTheme="minorHAnsi" w:cstheme="minorHAnsi"/>
          <w:b/>
          <w:bCs/>
          <w:szCs w:val="19"/>
          <w:lang w:val="fr-FR"/>
        </w:rPr>
        <w:br/>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147A62C3" w14:textId="77777777" w:rsidR="00183C4C" w:rsidRPr="00183C4C" w:rsidRDefault="00183C4C" w:rsidP="00183C4C">
      <w:pPr>
        <w:spacing w:after="160" w:line="259" w:lineRule="auto"/>
        <w:rPr>
          <w:rFonts w:asciiTheme="minorHAnsi" w:eastAsia="Calibri" w:hAnsiTheme="minorHAnsi" w:cstheme="minorHAnsi"/>
          <w:b/>
          <w:bCs/>
          <w:sz w:val="20"/>
          <w:szCs w:val="20"/>
          <w:lang w:val="fr-FR" w:bidi="th-TH"/>
        </w:rPr>
      </w:pPr>
      <w:r w:rsidRPr="00183C4C">
        <w:rPr>
          <w:rFonts w:asciiTheme="minorHAnsi" w:eastAsia="Aptos" w:hAnsiTheme="minorHAnsi" w:cstheme="minorHAnsi"/>
          <w:b/>
          <w:sz w:val="20"/>
          <w:szCs w:val="20"/>
          <w:lang w:val="fr-FR" w:bidi="fr-FR"/>
        </w:rPr>
        <w:t xml:space="preserve">L’analyse du cycle de vie confirme que BOBST </w:t>
      </w:r>
      <w:proofErr w:type="spellStart"/>
      <w:r w:rsidRPr="00183C4C">
        <w:rPr>
          <w:rFonts w:asciiTheme="minorHAnsi" w:eastAsia="Aptos" w:hAnsiTheme="minorHAnsi" w:cstheme="minorHAnsi"/>
          <w:b/>
          <w:sz w:val="20"/>
          <w:szCs w:val="20"/>
          <w:lang w:val="fr-FR" w:bidi="fr-FR"/>
        </w:rPr>
        <w:t>oneBARRIER</w:t>
      </w:r>
      <w:proofErr w:type="spellEnd"/>
      <w:r w:rsidRPr="00183C4C">
        <w:rPr>
          <w:rFonts w:asciiTheme="minorHAnsi" w:eastAsia="Aptos" w:hAnsiTheme="minorHAnsi" w:cstheme="minorHAnsi"/>
          <w:b/>
          <w:sz w:val="20"/>
          <w:szCs w:val="20"/>
          <w:lang w:val="fr-FR" w:bidi="fr-FR"/>
        </w:rPr>
        <w:t xml:space="preserve"> est un choix d’emballage supérieur</w:t>
      </w:r>
    </w:p>
    <w:p w14:paraId="362B90BB" w14:textId="77777777" w:rsidR="00183C4C" w:rsidRPr="00183C4C" w:rsidRDefault="00183C4C" w:rsidP="00183C4C">
      <w:pPr>
        <w:spacing w:after="160" w:line="259" w:lineRule="auto"/>
        <w:rPr>
          <w:rFonts w:asciiTheme="minorHAnsi" w:eastAsia="Calibri" w:hAnsiTheme="minorHAnsi" w:cstheme="minorHAnsi"/>
          <w:b/>
          <w:bCs/>
          <w:sz w:val="20"/>
          <w:szCs w:val="20"/>
          <w:lang w:val="fr-FR" w:bidi="th-TH"/>
        </w:rPr>
      </w:pPr>
      <w:r w:rsidRPr="00183C4C">
        <w:rPr>
          <w:rFonts w:asciiTheme="minorHAnsi" w:eastAsia="Aptos" w:hAnsiTheme="minorHAnsi" w:cstheme="minorHAnsi"/>
          <w:b/>
          <w:sz w:val="20"/>
          <w:szCs w:val="20"/>
          <w:lang w:val="fr-FR" w:bidi="fr-FR"/>
        </w:rPr>
        <w:t xml:space="preserve">La technologie BOBST </w:t>
      </w:r>
      <w:proofErr w:type="spellStart"/>
      <w:r w:rsidRPr="00183C4C">
        <w:rPr>
          <w:rFonts w:asciiTheme="minorHAnsi" w:eastAsia="Aptos" w:hAnsiTheme="minorHAnsi" w:cstheme="minorHAnsi"/>
          <w:b/>
          <w:sz w:val="20"/>
          <w:szCs w:val="20"/>
          <w:lang w:val="fr-FR" w:bidi="fr-FR"/>
        </w:rPr>
        <w:t>oneBARRIER</w:t>
      </w:r>
      <w:proofErr w:type="spellEnd"/>
      <w:r w:rsidRPr="00183C4C">
        <w:rPr>
          <w:rFonts w:asciiTheme="minorHAnsi" w:eastAsia="Aptos" w:hAnsiTheme="minorHAnsi" w:cstheme="minorHAnsi"/>
          <w:b/>
          <w:sz w:val="20"/>
          <w:szCs w:val="20"/>
          <w:lang w:val="fr-FR" w:bidi="fr-FR"/>
        </w:rPr>
        <w:t xml:space="preserve"> permet aux imprimeurs et aux transformateurs de produire des emballages souples qui satisfont non seulement les objectifs de développement durable des propriétaires de marques, mais également les exigences réglementaires. </w:t>
      </w:r>
    </w:p>
    <w:p w14:paraId="405C311F"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Alors que les besoins en emballages souples recyclables s’intensifient, BOBST est à la pointe de l’industrie avec la gamme de solutions mono-matériau à haute barrière </w:t>
      </w:r>
      <w:proofErr w:type="spellStart"/>
      <w:r w:rsidRPr="00183C4C">
        <w:rPr>
          <w:rFonts w:asciiTheme="minorHAnsi" w:eastAsia="Aptos" w:hAnsiTheme="minorHAnsi" w:cstheme="minorHAnsi"/>
          <w:sz w:val="20"/>
          <w:szCs w:val="20"/>
          <w:lang w:val="fr-FR" w:bidi="fr-FR"/>
        </w:rPr>
        <w:t>oneBARRIER</w:t>
      </w:r>
      <w:proofErr w:type="spellEnd"/>
      <w:r w:rsidRPr="00183C4C">
        <w:rPr>
          <w:rFonts w:asciiTheme="minorHAnsi" w:eastAsia="Aptos" w:hAnsiTheme="minorHAnsi" w:cstheme="minorHAnsi"/>
          <w:sz w:val="20"/>
          <w:szCs w:val="20"/>
          <w:lang w:val="fr-FR" w:bidi="fr-FR"/>
        </w:rPr>
        <w:t>. Deux produits innovants, créés en collaboration avec des partenaires experts de l’industrie, sont disponibles :</w:t>
      </w:r>
    </w:p>
    <w:p w14:paraId="2BD54E46" w14:textId="77777777" w:rsidR="00183C4C" w:rsidRPr="00183C4C" w:rsidRDefault="00183C4C" w:rsidP="00183C4C">
      <w:pPr>
        <w:numPr>
          <w:ilvl w:val="0"/>
          <w:numId w:val="18"/>
        </w:numPr>
        <w:spacing w:after="160" w:line="240" w:lineRule="auto"/>
        <w:contextualSpacing/>
        <w:rPr>
          <w:rFonts w:asciiTheme="minorHAnsi" w:hAnsiTheme="minorHAnsi" w:cstheme="minorHAnsi"/>
          <w:sz w:val="20"/>
          <w:szCs w:val="20"/>
          <w:lang w:val="fr-FR" w:eastAsia="en-GB"/>
        </w:rPr>
      </w:pPr>
      <w:proofErr w:type="spellStart"/>
      <w:r w:rsidRPr="00183C4C">
        <w:rPr>
          <w:rFonts w:asciiTheme="minorHAnsi" w:eastAsia="Aptos" w:hAnsiTheme="minorHAnsi" w:cstheme="minorHAnsi"/>
          <w:sz w:val="20"/>
          <w:szCs w:val="20"/>
          <w:lang w:val="fr-FR" w:eastAsia="en-GB" w:bidi="fr-FR"/>
        </w:rPr>
        <w:t>oneBARRIER</w:t>
      </w:r>
      <w:proofErr w:type="spellEnd"/>
      <w:r w:rsidRPr="00183C4C">
        <w:rPr>
          <w:rFonts w:asciiTheme="minorHAnsi" w:eastAsia="Aptos" w:hAnsiTheme="minorHAnsi" w:cstheme="minorHAnsi"/>
          <w:sz w:val="20"/>
          <w:szCs w:val="20"/>
          <w:lang w:val="fr-FR" w:eastAsia="en-GB" w:bidi="fr-FR"/>
        </w:rPr>
        <w:t xml:space="preserve"> </w:t>
      </w:r>
      <w:proofErr w:type="spellStart"/>
      <w:r w:rsidRPr="00183C4C">
        <w:rPr>
          <w:rFonts w:asciiTheme="minorHAnsi" w:eastAsia="Aptos" w:hAnsiTheme="minorHAnsi" w:cstheme="minorHAnsi"/>
          <w:sz w:val="20"/>
          <w:szCs w:val="20"/>
          <w:lang w:val="fr-FR" w:eastAsia="en-GB" w:bidi="fr-FR"/>
        </w:rPr>
        <w:t>PrimeCycle</w:t>
      </w:r>
      <w:proofErr w:type="spellEnd"/>
      <w:r w:rsidRPr="00183C4C">
        <w:rPr>
          <w:rFonts w:asciiTheme="minorHAnsi" w:eastAsia="Aptos" w:hAnsiTheme="minorHAnsi" w:cstheme="minorHAnsi"/>
          <w:sz w:val="20"/>
          <w:szCs w:val="20"/>
          <w:lang w:val="fr-FR" w:eastAsia="en-GB" w:bidi="fr-FR"/>
        </w:rPr>
        <w:t xml:space="preserve"> est une solution mono-matériau à base de polyéthylène (PE) qui offre des performances et une durabilité exceptionnelles. </w:t>
      </w:r>
    </w:p>
    <w:p w14:paraId="3128AF5E" w14:textId="77777777" w:rsidR="00183C4C" w:rsidRPr="00183C4C" w:rsidRDefault="00183C4C" w:rsidP="00183C4C">
      <w:pPr>
        <w:numPr>
          <w:ilvl w:val="0"/>
          <w:numId w:val="18"/>
        </w:numPr>
        <w:spacing w:after="160" w:line="240" w:lineRule="auto"/>
        <w:contextualSpacing/>
        <w:rPr>
          <w:rFonts w:asciiTheme="minorHAnsi" w:hAnsiTheme="minorHAnsi" w:cstheme="minorHAnsi"/>
          <w:sz w:val="20"/>
          <w:szCs w:val="20"/>
          <w:lang w:val="fr-FR" w:eastAsia="en-GB"/>
        </w:rPr>
      </w:pPr>
      <w:proofErr w:type="spellStart"/>
      <w:r w:rsidRPr="00183C4C">
        <w:rPr>
          <w:rFonts w:asciiTheme="minorHAnsi" w:eastAsia="Aptos" w:hAnsiTheme="minorHAnsi" w:cstheme="minorHAnsi"/>
          <w:sz w:val="20"/>
          <w:szCs w:val="20"/>
          <w:lang w:val="fr-FR" w:eastAsia="en-GB" w:bidi="fr-FR"/>
        </w:rPr>
        <w:t>oneBARRIER</w:t>
      </w:r>
      <w:proofErr w:type="spellEnd"/>
      <w:r w:rsidRPr="00183C4C">
        <w:rPr>
          <w:rFonts w:asciiTheme="minorHAnsi" w:eastAsia="Aptos" w:hAnsiTheme="minorHAnsi" w:cstheme="minorHAnsi"/>
          <w:sz w:val="20"/>
          <w:szCs w:val="20"/>
          <w:lang w:val="fr-FR" w:eastAsia="en-GB" w:bidi="fr-FR"/>
        </w:rPr>
        <w:t xml:space="preserve"> </w:t>
      </w:r>
      <w:proofErr w:type="spellStart"/>
      <w:r w:rsidRPr="00183C4C">
        <w:rPr>
          <w:rFonts w:asciiTheme="minorHAnsi" w:eastAsia="Aptos" w:hAnsiTheme="minorHAnsi" w:cstheme="minorHAnsi"/>
          <w:sz w:val="20"/>
          <w:szCs w:val="20"/>
          <w:lang w:val="fr-FR" w:eastAsia="en-GB" w:bidi="fr-FR"/>
        </w:rPr>
        <w:t>FibreCycle</w:t>
      </w:r>
      <w:proofErr w:type="spellEnd"/>
      <w:r w:rsidRPr="00183C4C">
        <w:rPr>
          <w:rFonts w:asciiTheme="minorHAnsi" w:eastAsia="Aptos" w:hAnsiTheme="minorHAnsi" w:cstheme="minorHAnsi"/>
          <w:sz w:val="20"/>
          <w:szCs w:val="20"/>
          <w:lang w:val="fr-FR" w:eastAsia="en-GB" w:bidi="fr-FR"/>
        </w:rPr>
        <w:t xml:space="preserve"> est une solution 100 % papier qui répond au besoin croissant de matériaux d’emballage renouvelables. </w:t>
      </w:r>
    </w:p>
    <w:p w14:paraId="00DC7E1F" w14:textId="77777777" w:rsidR="00183C4C" w:rsidRPr="00183C4C" w:rsidRDefault="00183C4C" w:rsidP="00183C4C">
      <w:pPr>
        <w:spacing w:line="240" w:lineRule="auto"/>
        <w:ind w:left="720"/>
        <w:contextualSpacing/>
        <w:rPr>
          <w:rFonts w:asciiTheme="minorHAnsi" w:hAnsiTheme="minorHAnsi" w:cstheme="minorHAnsi"/>
          <w:sz w:val="20"/>
          <w:szCs w:val="20"/>
          <w:lang w:val="fr-FR" w:eastAsia="en-GB"/>
        </w:rPr>
      </w:pPr>
    </w:p>
    <w:p w14:paraId="25DF1DFD"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En réalisant des analyses rigoureuses du cycle de vie (ACV), BOBST évalue les impacts environnementaux de ces solutions </w:t>
      </w:r>
      <w:proofErr w:type="spellStart"/>
      <w:r w:rsidRPr="00183C4C">
        <w:rPr>
          <w:rFonts w:asciiTheme="minorHAnsi" w:eastAsia="Aptos" w:hAnsiTheme="minorHAnsi" w:cstheme="minorHAnsi"/>
          <w:sz w:val="20"/>
          <w:szCs w:val="20"/>
          <w:lang w:val="fr-FR" w:bidi="fr-FR"/>
        </w:rPr>
        <w:t>oneBARRIER</w:t>
      </w:r>
      <w:proofErr w:type="spellEnd"/>
      <w:r w:rsidRPr="00183C4C">
        <w:rPr>
          <w:rFonts w:asciiTheme="minorHAnsi" w:eastAsia="Aptos" w:hAnsiTheme="minorHAnsi" w:cstheme="minorHAnsi"/>
          <w:sz w:val="20"/>
          <w:szCs w:val="20"/>
          <w:lang w:val="fr-FR" w:bidi="fr-FR"/>
        </w:rPr>
        <w:t xml:space="preserve"> selon une méthodologie « du berceau à la porte ». Cette approche permet aux clients de choisir en toute confiance des options durables étayées par des données primaires validées et précises. </w:t>
      </w:r>
    </w:p>
    <w:p w14:paraId="7B8E4BA0" w14:textId="77777777" w:rsidR="00183C4C" w:rsidRPr="00183C4C" w:rsidRDefault="00183C4C" w:rsidP="00183C4C">
      <w:pPr>
        <w:spacing w:after="160" w:line="259" w:lineRule="auto"/>
        <w:rPr>
          <w:rFonts w:asciiTheme="minorHAnsi" w:eastAsia="Calibri" w:hAnsiTheme="minorHAnsi" w:cstheme="minorHAnsi"/>
          <w:b/>
          <w:bCs/>
          <w:sz w:val="20"/>
          <w:szCs w:val="20"/>
          <w:lang w:val="fr-FR" w:bidi="th-TH"/>
        </w:rPr>
      </w:pPr>
      <w:r w:rsidRPr="00183C4C">
        <w:rPr>
          <w:rFonts w:asciiTheme="minorHAnsi" w:eastAsia="Aptos" w:hAnsiTheme="minorHAnsi" w:cstheme="minorHAnsi"/>
          <w:b/>
          <w:sz w:val="20"/>
          <w:szCs w:val="20"/>
          <w:lang w:val="fr-FR" w:bidi="fr-FR"/>
        </w:rPr>
        <w:t>Créer des emballages viables et durables</w:t>
      </w:r>
    </w:p>
    <w:p w14:paraId="1CF820DE"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Lors du développement de nouvelles solutions d’emballage souple, BOBST prend en compte cinq critères essentiels afin de créer des matériaux qui sont non seulement durables, mais également viables sur le plan financier et technique. En outre, ces matériaux sont conçus pour répondre aux exigences réglementaires et aux directives internationales et régionales.</w:t>
      </w:r>
    </w:p>
    <w:p w14:paraId="76119786" w14:textId="77777777" w:rsidR="00183C4C" w:rsidRPr="00183C4C" w:rsidRDefault="00183C4C" w:rsidP="00183C4C">
      <w:pPr>
        <w:numPr>
          <w:ilvl w:val="0"/>
          <w:numId w:val="16"/>
        </w:numPr>
        <w:spacing w:after="160" w:line="240" w:lineRule="auto"/>
        <w:contextualSpacing/>
        <w:rPr>
          <w:rFonts w:asciiTheme="minorHAnsi" w:hAnsiTheme="minorHAnsi" w:cstheme="minorHAnsi"/>
          <w:sz w:val="20"/>
          <w:szCs w:val="20"/>
          <w:lang w:val="fr-FR" w:eastAsia="en-GB"/>
        </w:rPr>
      </w:pPr>
      <w:r w:rsidRPr="00183C4C">
        <w:rPr>
          <w:rFonts w:asciiTheme="minorHAnsi" w:eastAsia="Aptos" w:hAnsiTheme="minorHAnsi" w:cstheme="minorHAnsi"/>
          <w:sz w:val="20"/>
          <w:szCs w:val="20"/>
          <w:lang w:val="fr-FR" w:eastAsia="en-GB" w:bidi="fr-FR"/>
        </w:rPr>
        <w:t xml:space="preserve">La conception orientée recyclage (D4R) </w:t>
      </w:r>
    </w:p>
    <w:p w14:paraId="1BEED656"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La composition des matériaux doit respecter les directives de l’industrie, telles que CEFLEX et APR pour les polymères et 4evergreen pour les emballages à base de papier. Elle doit également être conforme aux réglementations, notamment au règlement sur les emballages et les déchets d’emballages (PPWR).  </w:t>
      </w:r>
    </w:p>
    <w:p w14:paraId="34A14F06" w14:textId="77777777" w:rsidR="00183C4C" w:rsidRPr="00183C4C" w:rsidRDefault="00183C4C" w:rsidP="00183C4C">
      <w:pPr>
        <w:numPr>
          <w:ilvl w:val="0"/>
          <w:numId w:val="16"/>
        </w:numPr>
        <w:spacing w:after="160" w:line="240" w:lineRule="auto"/>
        <w:contextualSpacing/>
        <w:rPr>
          <w:rFonts w:asciiTheme="minorHAnsi" w:hAnsiTheme="minorHAnsi" w:cstheme="minorHAnsi"/>
          <w:sz w:val="20"/>
          <w:szCs w:val="20"/>
          <w:lang w:val="en-US" w:eastAsia="en-GB"/>
        </w:rPr>
      </w:pPr>
      <w:r w:rsidRPr="00183C4C">
        <w:rPr>
          <w:rFonts w:asciiTheme="minorHAnsi" w:eastAsia="Aptos" w:hAnsiTheme="minorHAnsi" w:cstheme="minorHAnsi"/>
          <w:sz w:val="20"/>
          <w:szCs w:val="20"/>
          <w:lang w:val="fr-FR" w:eastAsia="en-GB" w:bidi="fr-FR"/>
        </w:rPr>
        <w:t>Des performances d’excellence</w:t>
      </w:r>
    </w:p>
    <w:p w14:paraId="2B617259"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Le matériau d’emballage doit présenter les propriétés nécessaires, telles qu’une barrière haute performance, une bonne durée de vie et une bonne adhérence, pour protéger efficacement le contenu. Il doit également être adapté à un traitement efficace sur les machines de transformation - façonnage et les lignes d’emballage.</w:t>
      </w:r>
    </w:p>
    <w:p w14:paraId="546C79A7" w14:textId="77777777" w:rsidR="00183C4C" w:rsidRPr="00183C4C" w:rsidRDefault="00183C4C" w:rsidP="00183C4C">
      <w:pPr>
        <w:numPr>
          <w:ilvl w:val="0"/>
          <w:numId w:val="16"/>
        </w:numPr>
        <w:spacing w:after="160" w:line="240" w:lineRule="auto"/>
        <w:contextualSpacing/>
        <w:rPr>
          <w:rFonts w:asciiTheme="minorHAnsi" w:hAnsiTheme="minorHAnsi" w:cstheme="minorHAnsi"/>
          <w:sz w:val="20"/>
          <w:szCs w:val="20"/>
          <w:lang w:val="en-US" w:eastAsia="en-GB"/>
        </w:rPr>
      </w:pPr>
      <w:r w:rsidRPr="00183C4C">
        <w:rPr>
          <w:rFonts w:asciiTheme="minorHAnsi" w:eastAsia="Aptos" w:hAnsiTheme="minorHAnsi" w:cstheme="minorHAnsi"/>
          <w:sz w:val="20"/>
          <w:szCs w:val="20"/>
          <w:lang w:val="fr-FR" w:eastAsia="en-GB" w:bidi="fr-FR"/>
        </w:rPr>
        <w:t>Recyclabilité certifiée</w:t>
      </w:r>
    </w:p>
    <w:p w14:paraId="6083D3C8"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Tous les matériaux doivent être testés et certifiés afin de garantir leur recyclabilité dans le flux de déchets en utilisant des méthodes de test approuvées telles que PTS (Institut </w:t>
      </w:r>
      <w:proofErr w:type="spellStart"/>
      <w:r w:rsidRPr="00183C4C">
        <w:rPr>
          <w:rFonts w:asciiTheme="minorHAnsi" w:eastAsia="Aptos" w:hAnsiTheme="minorHAnsi" w:cstheme="minorHAnsi"/>
          <w:sz w:val="20"/>
          <w:szCs w:val="20"/>
          <w:lang w:val="fr-FR" w:bidi="fr-FR"/>
        </w:rPr>
        <w:t>für</w:t>
      </w:r>
      <w:proofErr w:type="spellEnd"/>
      <w:r w:rsidRPr="00183C4C">
        <w:rPr>
          <w:rFonts w:asciiTheme="minorHAnsi" w:eastAsia="Aptos" w:hAnsiTheme="minorHAnsi" w:cstheme="minorHAnsi"/>
          <w:sz w:val="20"/>
          <w:szCs w:val="20"/>
          <w:lang w:val="fr-FR" w:bidi="fr-FR"/>
        </w:rPr>
        <w:t xml:space="preserve"> </w:t>
      </w:r>
      <w:proofErr w:type="spellStart"/>
      <w:r w:rsidRPr="00183C4C">
        <w:rPr>
          <w:rFonts w:asciiTheme="minorHAnsi" w:eastAsia="Aptos" w:hAnsiTheme="minorHAnsi" w:cstheme="minorHAnsi"/>
          <w:sz w:val="20"/>
          <w:szCs w:val="20"/>
          <w:lang w:val="fr-FR" w:bidi="fr-FR"/>
        </w:rPr>
        <w:t>Fasern</w:t>
      </w:r>
      <w:proofErr w:type="spellEnd"/>
      <w:r w:rsidRPr="00183C4C">
        <w:rPr>
          <w:rFonts w:asciiTheme="minorHAnsi" w:eastAsia="Aptos" w:hAnsiTheme="minorHAnsi" w:cstheme="minorHAnsi"/>
          <w:sz w:val="20"/>
          <w:szCs w:val="20"/>
          <w:lang w:val="fr-FR" w:bidi="fr-FR"/>
        </w:rPr>
        <w:t xml:space="preserve"> &amp; Papier </w:t>
      </w:r>
      <w:proofErr w:type="spellStart"/>
      <w:r w:rsidRPr="00183C4C">
        <w:rPr>
          <w:rFonts w:asciiTheme="minorHAnsi" w:eastAsia="Aptos" w:hAnsiTheme="minorHAnsi" w:cstheme="minorHAnsi"/>
          <w:sz w:val="20"/>
          <w:szCs w:val="20"/>
          <w:lang w:val="fr-FR" w:bidi="fr-FR"/>
        </w:rPr>
        <w:t>gGmbH</w:t>
      </w:r>
      <w:proofErr w:type="spellEnd"/>
      <w:r w:rsidRPr="00183C4C">
        <w:rPr>
          <w:rFonts w:asciiTheme="minorHAnsi" w:eastAsia="Aptos" w:hAnsiTheme="minorHAnsi" w:cstheme="minorHAnsi"/>
          <w:sz w:val="20"/>
          <w:szCs w:val="20"/>
          <w:lang w:val="fr-FR" w:bidi="fr-FR"/>
        </w:rPr>
        <w:t xml:space="preserve">), </w:t>
      </w:r>
      <w:proofErr w:type="spellStart"/>
      <w:r w:rsidRPr="00183C4C">
        <w:rPr>
          <w:rFonts w:asciiTheme="minorHAnsi" w:eastAsia="Aptos" w:hAnsiTheme="minorHAnsi" w:cstheme="minorHAnsi"/>
          <w:sz w:val="20"/>
          <w:szCs w:val="20"/>
          <w:lang w:val="fr-FR" w:bidi="fr-FR"/>
        </w:rPr>
        <w:t>RecyClass</w:t>
      </w:r>
      <w:proofErr w:type="spellEnd"/>
      <w:r w:rsidRPr="00183C4C">
        <w:rPr>
          <w:rFonts w:asciiTheme="minorHAnsi" w:eastAsia="Aptos" w:hAnsiTheme="minorHAnsi" w:cstheme="minorHAnsi"/>
          <w:sz w:val="20"/>
          <w:szCs w:val="20"/>
          <w:lang w:val="fr-FR" w:bidi="fr-FR"/>
        </w:rPr>
        <w:t xml:space="preserve">, ou Institut cyclos-HTP. </w:t>
      </w:r>
    </w:p>
    <w:p w14:paraId="3C6090E0" w14:textId="77777777" w:rsidR="00183C4C" w:rsidRPr="00183C4C" w:rsidRDefault="00183C4C" w:rsidP="00183C4C">
      <w:pPr>
        <w:numPr>
          <w:ilvl w:val="0"/>
          <w:numId w:val="16"/>
        </w:numPr>
        <w:spacing w:after="160" w:line="240" w:lineRule="auto"/>
        <w:contextualSpacing/>
        <w:rPr>
          <w:rFonts w:asciiTheme="minorHAnsi" w:hAnsiTheme="minorHAnsi" w:cstheme="minorHAnsi"/>
          <w:sz w:val="20"/>
          <w:szCs w:val="20"/>
          <w:lang w:val="en-US" w:eastAsia="en-GB"/>
        </w:rPr>
      </w:pPr>
      <w:r w:rsidRPr="00183C4C">
        <w:rPr>
          <w:rFonts w:asciiTheme="minorHAnsi" w:eastAsia="Aptos" w:hAnsiTheme="minorHAnsi" w:cstheme="minorHAnsi"/>
          <w:sz w:val="20"/>
          <w:szCs w:val="20"/>
          <w:lang w:val="fr-FR" w:eastAsia="en-GB" w:bidi="fr-FR"/>
        </w:rPr>
        <w:t>Rentabilité</w:t>
      </w:r>
    </w:p>
    <w:p w14:paraId="5FA2A675"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Le coût total du matériau d’emballage doit être évalué de manière appropriée afin de s’assurer qu’il est neutre en termes de coûts ou qu’il se situe à un niveau de coût supplémentaire acceptable. </w:t>
      </w:r>
    </w:p>
    <w:p w14:paraId="7DD8C279" w14:textId="77777777" w:rsidR="00183C4C" w:rsidRPr="00183C4C" w:rsidRDefault="00183C4C" w:rsidP="00183C4C">
      <w:pPr>
        <w:numPr>
          <w:ilvl w:val="0"/>
          <w:numId w:val="16"/>
        </w:numPr>
        <w:spacing w:after="160" w:line="240" w:lineRule="auto"/>
        <w:contextualSpacing/>
        <w:rPr>
          <w:rFonts w:asciiTheme="minorHAnsi" w:hAnsiTheme="minorHAnsi" w:cstheme="minorHAnsi"/>
          <w:sz w:val="20"/>
          <w:szCs w:val="20"/>
          <w:lang w:val="en-US" w:eastAsia="en-GB"/>
        </w:rPr>
      </w:pPr>
      <w:r w:rsidRPr="00183C4C">
        <w:rPr>
          <w:rFonts w:asciiTheme="minorHAnsi" w:eastAsia="Aptos" w:hAnsiTheme="minorHAnsi" w:cstheme="minorHAnsi"/>
          <w:sz w:val="20"/>
          <w:szCs w:val="20"/>
          <w:lang w:val="fr-FR" w:eastAsia="en-GB" w:bidi="fr-FR"/>
        </w:rPr>
        <w:t xml:space="preserve">Évaluation environnementale </w:t>
      </w:r>
    </w:p>
    <w:p w14:paraId="7FA99257"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lastRenderedPageBreak/>
        <w:t>Une analyse du cycle de vie (ACV) doit être réalisée pour déterminer les incidences environnementales liées à la production de la structure de l’emballage ; elle peut mettre en évidence le fait que le matériau choisi est plus respectueux de l’environnement que les alternatives existantes. En fin de compte, l’ACV permet d’éliminer le greenwashing et contribuer à l’établissement d’une meilleure réputation.</w:t>
      </w:r>
    </w:p>
    <w:p w14:paraId="27601383"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BOBST a réalisé des ACV sur les solutions </w:t>
      </w:r>
      <w:proofErr w:type="spellStart"/>
      <w:r w:rsidRPr="00183C4C">
        <w:rPr>
          <w:rFonts w:asciiTheme="minorHAnsi" w:eastAsia="Aptos" w:hAnsiTheme="minorHAnsi" w:cstheme="minorHAnsi"/>
          <w:sz w:val="20"/>
          <w:szCs w:val="20"/>
          <w:lang w:val="fr-FR" w:bidi="fr-FR"/>
        </w:rPr>
        <w:t>oneBARRIER</w:t>
      </w:r>
      <w:proofErr w:type="spellEnd"/>
      <w:r w:rsidRPr="00183C4C">
        <w:rPr>
          <w:rFonts w:asciiTheme="minorHAnsi" w:eastAsia="Aptos" w:hAnsiTheme="minorHAnsi" w:cstheme="minorHAnsi"/>
          <w:sz w:val="20"/>
          <w:szCs w:val="20"/>
          <w:lang w:val="fr-FR" w:bidi="fr-FR"/>
        </w:rPr>
        <w:t xml:space="preserve"> </w:t>
      </w:r>
      <w:proofErr w:type="spellStart"/>
      <w:r w:rsidRPr="00183C4C">
        <w:rPr>
          <w:rFonts w:asciiTheme="minorHAnsi" w:eastAsia="Aptos" w:hAnsiTheme="minorHAnsi" w:cstheme="minorHAnsi"/>
          <w:sz w:val="20"/>
          <w:szCs w:val="20"/>
          <w:lang w:val="fr-FR" w:bidi="fr-FR"/>
        </w:rPr>
        <w:t>PrimeCycle</w:t>
      </w:r>
      <w:proofErr w:type="spellEnd"/>
      <w:r w:rsidRPr="00183C4C">
        <w:rPr>
          <w:rFonts w:asciiTheme="minorHAnsi" w:eastAsia="Aptos" w:hAnsiTheme="minorHAnsi" w:cstheme="minorHAnsi"/>
          <w:sz w:val="20"/>
          <w:szCs w:val="20"/>
          <w:lang w:val="fr-FR" w:bidi="fr-FR"/>
        </w:rPr>
        <w:t xml:space="preserve"> et </w:t>
      </w:r>
      <w:proofErr w:type="spellStart"/>
      <w:r w:rsidRPr="00183C4C">
        <w:rPr>
          <w:rFonts w:asciiTheme="minorHAnsi" w:eastAsia="Aptos" w:hAnsiTheme="minorHAnsi" w:cstheme="minorHAnsi"/>
          <w:sz w:val="20"/>
          <w:szCs w:val="20"/>
          <w:lang w:val="fr-FR" w:bidi="fr-FR"/>
        </w:rPr>
        <w:t>FibreCycle</w:t>
      </w:r>
      <w:proofErr w:type="spellEnd"/>
      <w:r w:rsidRPr="00183C4C">
        <w:rPr>
          <w:rFonts w:asciiTheme="minorHAnsi" w:eastAsia="Aptos" w:hAnsiTheme="minorHAnsi" w:cstheme="minorHAnsi"/>
          <w:sz w:val="20"/>
          <w:szCs w:val="20"/>
          <w:lang w:val="fr-FR" w:bidi="fr-FR"/>
        </w:rPr>
        <w:t xml:space="preserve"> afin de déterminer leurs impacts environnementaux du berceau à la porte, plus particulièrement à la porte de l’usine, en comparaison avec les structures d’emballage multi-matériaux existantes. </w:t>
      </w:r>
    </w:p>
    <w:p w14:paraId="2BD93E77"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Une étude ACV permet d’identifier les impacts dans 16 catégories, telles que le changement climatique. L’étude ACV réalisée par BOBST porte sur les catégories considérées comme les plus recherchées et les plus pertinentes pour l’industrie, à savoir l’empreinte carbone, l’utilisation d’eau et la consommation d’énergie.  </w:t>
      </w:r>
    </w:p>
    <w:p w14:paraId="483E25B6" w14:textId="77777777" w:rsidR="00183C4C" w:rsidRPr="00183C4C" w:rsidRDefault="00183C4C" w:rsidP="00183C4C">
      <w:pPr>
        <w:spacing w:after="160" w:line="259" w:lineRule="auto"/>
        <w:rPr>
          <w:rFonts w:asciiTheme="minorHAnsi" w:eastAsia="Calibri" w:hAnsiTheme="minorHAnsi" w:cstheme="minorHAnsi"/>
          <w:b/>
          <w:bCs/>
          <w:sz w:val="20"/>
          <w:szCs w:val="20"/>
          <w:lang w:val="fr-FR" w:bidi="th-TH"/>
        </w:rPr>
      </w:pPr>
      <w:r w:rsidRPr="00183C4C">
        <w:rPr>
          <w:rFonts w:asciiTheme="minorHAnsi" w:eastAsia="Aptos" w:hAnsiTheme="minorHAnsi" w:cstheme="minorHAnsi"/>
          <w:b/>
          <w:sz w:val="20"/>
          <w:szCs w:val="20"/>
          <w:lang w:val="fr-FR" w:bidi="fr-FR"/>
        </w:rPr>
        <w:t>Exploiter les avantages des ACV</w:t>
      </w:r>
    </w:p>
    <w:p w14:paraId="13397FBA" w14:textId="77777777" w:rsidR="00183C4C" w:rsidRPr="00183C4C" w:rsidRDefault="00183C4C" w:rsidP="00183C4C">
      <w:pPr>
        <w:spacing w:after="160" w:line="259" w:lineRule="auto"/>
        <w:rPr>
          <w:rFonts w:asciiTheme="minorHAnsi" w:eastAsia="Calibri" w:hAnsiTheme="minorHAnsi" w:cstheme="minorHAnsi"/>
          <w:sz w:val="20"/>
          <w:szCs w:val="20"/>
          <w:lang w:val="fr-CH" w:bidi="th-TH"/>
        </w:rPr>
      </w:pPr>
      <w:r w:rsidRPr="00183C4C">
        <w:rPr>
          <w:rFonts w:asciiTheme="minorHAnsi" w:eastAsia="Aptos" w:hAnsiTheme="minorHAnsi" w:cstheme="minorHAnsi"/>
          <w:sz w:val="20"/>
          <w:szCs w:val="20"/>
          <w:lang w:val="fr-FR" w:bidi="fr-FR"/>
        </w:rPr>
        <w:t xml:space="preserve">En général, la réalisation d’une ACV présente cinq avantages principaux. La première est la réduction de l’impact sur l’environnement. Une ACV permet d’identifier les points sensibles au cours du cycle de vie du produit. Ces informations peuvent être utilisées pour mettre en œuvre des améliorations visant à réduire l’empreinte carbone. </w:t>
      </w:r>
    </w:p>
    <w:p w14:paraId="1FE5B66C" w14:textId="77777777" w:rsidR="00183C4C" w:rsidRPr="00183C4C" w:rsidRDefault="00183C4C" w:rsidP="00183C4C">
      <w:pPr>
        <w:spacing w:after="160" w:line="259" w:lineRule="auto"/>
        <w:rPr>
          <w:rFonts w:asciiTheme="minorHAnsi" w:eastAsia="Calibri" w:hAnsiTheme="minorHAnsi" w:cstheme="minorHAnsi"/>
          <w:sz w:val="20"/>
          <w:szCs w:val="20"/>
          <w:lang w:val="fr-CH" w:bidi="th-TH"/>
        </w:rPr>
      </w:pPr>
      <w:r w:rsidRPr="00183C4C">
        <w:rPr>
          <w:rFonts w:asciiTheme="minorHAnsi" w:eastAsia="Aptos" w:hAnsiTheme="minorHAnsi" w:cstheme="minorHAnsi"/>
          <w:sz w:val="20"/>
          <w:szCs w:val="20"/>
          <w:lang w:val="fr-FR" w:bidi="fr-FR"/>
        </w:rPr>
        <w:t xml:space="preserve">Deuxièmement, elles peuvent contribuer à préserver les ressources en mettant en évidence les domaines où elles sont utilisées de manière inefficace. Cela permet d’apporter des améliorations qui optimisent la production et minimisent le gaspillage de matériaux et d’énergie. </w:t>
      </w:r>
    </w:p>
    <w:p w14:paraId="4A941B62"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Aptos" w:hAnsiTheme="minorHAnsi" w:cstheme="minorHAnsi"/>
          <w:sz w:val="20"/>
          <w:szCs w:val="20"/>
          <w:lang w:val="fr-FR" w:bidi="fr-FR"/>
        </w:rPr>
        <w:t xml:space="preserve">La réduction des coûts est un troisième avantage. Une ACV peut permettre de réaliser des économies au niveau de la production en améliorant l’efficacité et en garantissant un prix abordable sans compromettre la qualité. L’ACV peut également contribuer à la gestion des risques. Elle peut montrer la répartition des fournisseurs et l’impact potentiel du remplacement ou de l’élimination d’un fournisseur dans la chaîne de valeur. </w:t>
      </w:r>
    </w:p>
    <w:p w14:paraId="2EEB69C0" w14:textId="77777777" w:rsidR="00183C4C" w:rsidRPr="00183C4C" w:rsidRDefault="00183C4C" w:rsidP="00183C4C">
      <w:pPr>
        <w:spacing w:after="160" w:line="259" w:lineRule="auto"/>
        <w:rPr>
          <w:rFonts w:asciiTheme="minorHAnsi" w:eastAsia="Calibri" w:hAnsiTheme="minorHAnsi" w:cstheme="minorHAnsi"/>
          <w:sz w:val="20"/>
          <w:szCs w:val="20"/>
          <w:lang w:val="fr-CH" w:bidi="th-TH"/>
        </w:rPr>
      </w:pPr>
      <w:r w:rsidRPr="00183C4C">
        <w:rPr>
          <w:rFonts w:asciiTheme="minorHAnsi" w:eastAsia="Aptos" w:hAnsiTheme="minorHAnsi" w:cstheme="minorHAnsi"/>
          <w:sz w:val="20"/>
          <w:szCs w:val="20"/>
          <w:lang w:val="fr-FR" w:bidi="fr-FR"/>
        </w:rPr>
        <w:t>Enfin, la réalisation d’une ACV peut améliorer les relations avec les parties prenantes tout au long de la chaîne de valeur ; elle élimine en fin de compte le greenwashing et peut aboutir à une meilleure réputation de la marque ainsi qu’à un avantage concurrentiel.</w:t>
      </w:r>
    </w:p>
    <w:p w14:paraId="1844BADA" w14:textId="77777777" w:rsidR="00183C4C" w:rsidRPr="00183C4C" w:rsidRDefault="00183C4C" w:rsidP="00183C4C">
      <w:pPr>
        <w:spacing w:after="160" w:line="259" w:lineRule="auto"/>
        <w:rPr>
          <w:rFonts w:asciiTheme="minorHAnsi" w:eastAsia="SimSun" w:hAnsiTheme="minorHAnsi" w:cstheme="minorHAnsi"/>
          <w:b/>
          <w:bCs/>
          <w:kern w:val="24"/>
          <w:sz w:val="20"/>
          <w:szCs w:val="20"/>
          <w:lang w:val="fr-FR" w:bidi="th-TH"/>
        </w:rPr>
      </w:pPr>
      <w:proofErr w:type="spellStart"/>
      <w:r w:rsidRPr="00183C4C">
        <w:rPr>
          <w:rFonts w:asciiTheme="minorHAnsi" w:eastAsia="SimSun" w:hAnsiTheme="minorHAnsi" w:cstheme="minorHAnsi"/>
          <w:b/>
          <w:kern w:val="24"/>
          <w:sz w:val="20"/>
          <w:szCs w:val="20"/>
          <w:lang w:val="fr-FR" w:bidi="fr-FR"/>
        </w:rPr>
        <w:t>oneBARRIER</w:t>
      </w:r>
      <w:proofErr w:type="spellEnd"/>
      <w:r w:rsidRPr="00183C4C">
        <w:rPr>
          <w:rFonts w:asciiTheme="minorHAnsi" w:eastAsia="SimSun" w:hAnsiTheme="minorHAnsi" w:cstheme="minorHAnsi"/>
          <w:b/>
          <w:kern w:val="24"/>
          <w:sz w:val="20"/>
          <w:szCs w:val="20"/>
          <w:lang w:val="fr-FR" w:bidi="fr-FR"/>
        </w:rPr>
        <w:t> : le choix durable</w:t>
      </w:r>
    </w:p>
    <w:p w14:paraId="1FC0F758" w14:textId="77777777" w:rsidR="00183C4C" w:rsidRPr="00183C4C" w:rsidRDefault="00183C4C" w:rsidP="00183C4C">
      <w:pPr>
        <w:spacing w:after="160" w:line="259" w:lineRule="auto"/>
        <w:rPr>
          <w:rFonts w:asciiTheme="minorHAnsi" w:eastAsia="Calibri" w:hAnsiTheme="minorHAnsi" w:cstheme="minorHAnsi"/>
          <w:sz w:val="20"/>
          <w:szCs w:val="20"/>
          <w:lang w:val="fr-FR" w:bidi="th-TH"/>
        </w:rPr>
      </w:pPr>
      <w:r w:rsidRPr="00183C4C">
        <w:rPr>
          <w:rFonts w:asciiTheme="minorHAnsi" w:eastAsia="SimSun" w:hAnsiTheme="minorHAnsi" w:cstheme="minorHAnsi"/>
          <w:kern w:val="24"/>
          <w:sz w:val="20"/>
          <w:szCs w:val="20"/>
          <w:lang w:val="fr-FR" w:bidi="fr-FR"/>
        </w:rPr>
        <w:t>Comme indiqué, trois catégories d’impact font l’objet de cette étude d’ACV comparative : le changement climatique, la consommation d’eau douce et la consommation d’énergie. En tant qu’</w:t>
      </w:r>
      <w:r w:rsidRPr="00183C4C">
        <w:rPr>
          <w:rFonts w:asciiTheme="minorHAnsi" w:eastAsia="Aptos" w:hAnsiTheme="minorHAnsi" w:cstheme="minorHAnsi"/>
          <w:sz w:val="20"/>
          <w:szCs w:val="20"/>
          <w:lang w:val="fr-FR" w:bidi="fr-FR"/>
        </w:rPr>
        <w:t xml:space="preserve">évaluation « du berceau à la porte », l’ACV couvre tout le parcours depuis l’extraction des matières premières jusqu’à la fabrication de la structure de l’emballage final, en passant par le transport. </w:t>
      </w:r>
    </w:p>
    <w:p w14:paraId="48DD9CA5" w14:textId="77777777" w:rsidR="00183C4C" w:rsidRPr="00183C4C" w:rsidRDefault="00183C4C" w:rsidP="00183C4C">
      <w:pPr>
        <w:spacing w:after="160" w:line="259" w:lineRule="auto"/>
        <w:rPr>
          <w:rFonts w:asciiTheme="minorHAnsi" w:eastAsia="SimSun" w:hAnsiTheme="minorHAnsi" w:cstheme="minorHAnsi"/>
          <w:kern w:val="24"/>
          <w:sz w:val="20"/>
          <w:szCs w:val="20"/>
          <w:lang w:val="fr-FR" w:bidi="th-TH"/>
        </w:rPr>
      </w:pPr>
      <w:r w:rsidRPr="00183C4C">
        <w:rPr>
          <w:rFonts w:asciiTheme="minorHAnsi" w:eastAsia="SimSun" w:hAnsiTheme="minorHAnsi" w:cstheme="minorHAnsi"/>
          <w:kern w:val="24"/>
          <w:sz w:val="20"/>
          <w:szCs w:val="20"/>
          <w:lang w:val="fr-FR" w:bidi="fr-FR"/>
        </w:rPr>
        <w:t xml:space="preserve">L’étude évalue </w:t>
      </w:r>
      <w:proofErr w:type="spellStart"/>
      <w:r w:rsidRPr="00183C4C">
        <w:rPr>
          <w:rFonts w:asciiTheme="minorHAnsi" w:eastAsia="SimSun" w:hAnsiTheme="minorHAnsi" w:cstheme="minorHAnsi"/>
          <w:kern w:val="24"/>
          <w:sz w:val="20"/>
          <w:szCs w:val="20"/>
          <w:lang w:val="fr-FR" w:bidi="fr-FR"/>
        </w:rPr>
        <w:t>oneBARRIER</w:t>
      </w:r>
      <w:proofErr w:type="spellEnd"/>
      <w:r w:rsidRPr="00183C4C">
        <w:rPr>
          <w:rFonts w:asciiTheme="minorHAnsi" w:eastAsia="SimSun" w:hAnsiTheme="minorHAnsi" w:cstheme="minorHAnsi"/>
          <w:kern w:val="24"/>
          <w:sz w:val="20"/>
          <w:szCs w:val="20"/>
          <w:lang w:val="fr-FR" w:bidi="fr-FR"/>
        </w:rPr>
        <w:t xml:space="preserve"> </w:t>
      </w:r>
      <w:proofErr w:type="spellStart"/>
      <w:r w:rsidRPr="00183C4C">
        <w:rPr>
          <w:rFonts w:asciiTheme="minorHAnsi" w:eastAsia="SimSun" w:hAnsiTheme="minorHAnsi" w:cstheme="minorHAnsi"/>
          <w:kern w:val="24"/>
          <w:sz w:val="20"/>
          <w:szCs w:val="20"/>
          <w:lang w:val="fr-FR" w:bidi="fr-FR"/>
        </w:rPr>
        <w:t>PrimeCycle</w:t>
      </w:r>
      <w:proofErr w:type="spellEnd"/>
      <w:r w:rsidRPr="00183C4C">
        <w:rPr>
          <w:rFonts w:asciiTheme="minorHAnsi" w:eastAsia="SimSun" w:hAnsiTheme="minorHAnsi" w:cstheme="minorHAnsi"/>
          <w:kern w:val="24"/>
          <w:sz w:val="20"/>
          <w:szCs w:val="20"/>
          <w:lang w:val="fr-FR" w:bidi="fr-FR"/>
        </w:rPr>
        <w:t xml:space="preserve"> et </w:t>
      </w:r>
      <w:proofErr w:type="spellStart"/>
      <w:r w:rsidRPr="00183C4C">
        <w:rPr>
          <w:rFonts w:asciiTheme="minorHAnsi" w:eastAsia="SimSun" w:hAnsiTheme="minorHAnsi" w:cstheme="minorHAnsi"/>
          <w:kern w:val="24"/>
          <w:sz w:val="20"/>
          <w:szCs w:val="20"/>
          <w:lang w:val="fr-FR" w:bidi="fr-FR"/>
        </w:rPr>
        <w:t>oneBARRIER</w:t>
      </w:r>
      <w:proofErr w:type="spellEnd"/>
      <w:r w:rsidRPr="00183C4C">
        <w:rPr>
          <w:rFonts w:asciiTheme="minorHAnsi" w:eastAsia="SimSun" w:hAnsiTheme="minorHAnsi" w:cstheme="minorHAnsi"/>
          <w:kern w:val="24"/>
          <w:sz w:val="20"/>
          <w:szCs w:val="20"/>
          <w:lang w:val="fr-FR" w:bidi="fr-FR"/>
        </w:rPr>
        <w:t xml:space="preserve"> </w:t>
      </w:r>
      <w:proofErr w:type="spellStart"/>
      <w:r w:rsidRPr="00183C4C">
        <w:rPr>
          <w:rFonts w:asciiTheme="minorHAnsi" w:eastAsia="SimSun" w:hAnsiTheme="minorHAnsi" w:cstheme="minorHAnsi"/>
          <w:kern w:val="24"/>
          <w:sz w:val="20"/>
          <w:szCs w:val="20"/>
          <w:lang w:val="fr-FR" w:bidi="fr-FR"/>
        </w:rPr>
        <w:t>FibreCycle</w:t>
      </w:r>
      <w:proofErr w:type="spellEnd"/>
      <w:r w:rsidRPr="00183C4C">
        <w:rPr>
          <w:rFonts w:asciiTheme="minorHAnsi" w:eastAsia="SimSun" w:hAnsiTheme="minorHAnsi" w:cstheme="minorHAnsi"/>
          <w:kern w:val="24"/>
          <w:sz w:val="20"/>
          <w:szCs w:val="20"/>
          <w:lang w:val="fr-FR" w:bidi="fr-FR"/>
        </w:rPr>
        <w:t xml:space="preserve"> de BOBST par rapport à deux structures </w:t>
      </w:r>
      <w:proofErr w:type="spellStart"/>
      <w:r w:rsidRPr="00183C4C">
        <w:rPr>
          <w:rFonts w:asciiTheme="minorHAnsi" w:eastAsia="SimSun" w:hAnsiTheme="minorHAnsi" w:cstheme="minorHAnsi"/>
          <w:kern w:val="24"/>
          <w:sz w:val="20"/>
          <w:szCs w:val="20"/>
          <w:lang w:val="fr-FR" w:bidi="fr-FR"/>
        </w:rPr>
        <w:t>multimatériaux</w:t>
      </w:r>
      <w:proofErr w:type="spellEnd"/>
      <w:r w:rsidRPr="00183C4C">
        <w:rPr>
          <w:rFonts w:asciiTheme="minorHAnsi" w:eastAsia="SimSun" w:hAnsiTheme="minorHAnsi" w:cstheme="minorHAnsi"/>
          <w:kern w:val="24"/>
          <w:sz w:val="20"/>
          <w:szCs w:val="20"/>
          <w:lang w:val="fr-FR" w:bidi="fr-FR"/>
        </w:rPr>
        <w:t xml:space="preserve"> standard de l’industrie : une structure à haute barrière contenant du PET métallisé et une structure </w:t>
      </w:r>
      <w:proofErr w:type="spellStart"/>
      <w:r w:rsidRPr="00183C4C">
        <w:rPr>
          <w:rFonts w:asciiTheme="minorHAnsi" w:eastAsia="SimSun" w:hAnsiTheme="minorHAnsi" w:cstheme="minorHAnsi"/>
          <w:kern w:val="24"/>
          <w:sz w:val="20"/>
          <w:szCs w:val="20"/>
          <w:lang w:val="fr-FR" w:bidi="fr-FR"/>
        </w:rPr>
        <w:t>multimatériaux</w:t>
      </w:r>
      <w:proofErr w:type="spellEnd"/>
      <w:r w:rsidRPr="00183C4C">
        <w:rPr>
          <w:rFonts w:asciiTheme="minorHAnsi" w:eastAsia="SimSun" w:hAnsiTheme="minorHAnsi" w:cstheme="minorHAnsi"/>
          <w:kern w:val="24"/>
          <w:sz w:val="20"/>
          <w:szCs w:val="20"/>
          <w:lang w:val="fr-FR" w:bidi="fr-FR"/>
        </w:rPr>
        <w:t xml:space="preserve"> à ultra-haute barrière incorporant une feuille d’aluminium.</w:t>
      </w:r>
    </w:p>
    <w:p w14:paraId="78CF5030" w14:textId="77777777" w:rsidR="00183C4C" w:rsidRPr="00183C4C" w:rsidRDefault="00183C4C" w:rsidP="00183C4C">
      <w:pPr>
        <w:spacing w:after="160" w:line="259" w:lineRule="auto"/>
        <w:rPr>
          <w:rFonts w:asciiTheme="minorHAnsi" w:eastAsia="SimSun" w:hAnsiTheme="minorHAnsi" w:cstheme="minorHAnsi"/>
          <w:kern w:val="24"/>
          <w:sz w:val="20"/>
          <w:szCs w:val="20"/>
          <w:lang w:val="fr-FR" w:bidi="th-TH"/>
        </w:rPr>
      </w:pPr>
      <w:r w:rsidRPr="00183C4C">
        <w:rPr>
          <w:rFonts w:asciiTheme="minorHAnsi" w:eastAsia="SimSun" w:hAnsiTheme="minorHAnsi" w:cstheme="minorHAnsi"/>
          <w:kern w:val="24"/>
          <w:sz w:val="20"/>
          <w:szCs w:val="20"/>
          <w:lang w:val="fr-FR" w:bidi="fr-FR"/>
        </w:rPr>
        <w:t xml:space="preserve">Les résultats dans les trois catégories montrent que BOBST </w:t>
      </w:r>
      <w:proofErr w:type="spellStart"/>
      <w:r w:rsidRPr="00183C4C">
        <w:rPr>
          <w:rFonts w:asciiTheme="minorHAnsi" w:eastAsia="SimSun" w:hAnsiTheme="minorHAnsi" w:cstheme="minorHAnsi"/>
          <w:kern w:val="24"/>
          <w:sz w:val="20"/>
          <w:szCs w:val="20"/>
          <w:lang w:val="fr-FR" w:bidi="fr-FR"/>
        </w:rPr>
        <w:t>oneBARRIER</w:t>
      </w:r>
      <w:proofErr w:type="spellEnd"/>
      <w:r w:rsidRPr="00183C4C">
        <w:rPr>
          <w:rFonts w:asciiTheme="minorHAnsi" w:eastAsia="SimSun" w:hAnsiTheme="minorHAnsi" w:cstheme="minorHAnsi"/>
          <w:kern w:val="24"/>
          <w:sz w:val="20"/>
          <w:szCs w:val="20"/>
          <w:lang w:val="fr-FR" w:bidi="fr-FR"/>
        </w:rPr>
        <w:t xml:space="preserve"> </w:t>
      </w:r>
      <w:proofErr w:type="spellStart"/>
      <w:r w:rsidRPr="00183C4C">
        <w:rPr>
          <w:rFonts w:asciiTheme="minorHAnsi" w:eastAsia="SimSun" w:hAnsiTheme="minorHAnsi" w:cstheme="minorHAnsi"/>
          <w:kern w:val="24"/>
          <w:sz w:val="20"/>
          <w:szCs w:val="20"/>
          <w:lang w:val="fr-FR" w:bidi="fr-FR"/>
        </w:rPr>
        <w:t>PrimeCycle</w:t>
      </w:r>
      <w:proofErr w:type="spellEnd"/>
      <w:r w:rsidRPr="00183C4C">
        <w:rPr>
          <w:rFonts w:asciiTheme="minorHAnsi" w:eastAsia="SimSun" w:hAnsiTheme="minorHAnsi" w:cstheme="minorHAnsi"/>
          <w:kern w:val="24"/>
          <w:sz w:val="20"/>
          <w:szCs w:val="20"/>
          <w:lang w:val="fr-FR" w:bidi="fr-FR"/>
        </w:rPr>
        <w:t xml:space="preserve"> a l’impact le plus faible des quatre structures. Elle est suivie de près par la solution </w:t>
      </w:r>
      <w:proofErr w:type="spellStart"/>
      <w:r w:rsidRPr="00183C4C">
        <w:rPr>
          <w:rFonts w:asciiTheme="minorHAnsi" w:eastAsia="SimSun" w:hAnsiTheme="minorHAnsi" w:cstheme="minorHAnsi"/>
          <w:kern w:val="24"/>
          <w:sz w:val="20"/>
          <w:szCs w:val="20"/>
          <w:lang w:val="fr-FR" w:bidi="fr-FR"/>
        </w:rPr>
        <w:t>oneBARRIER</w:t>
      </w:r>
      <w:proofErr w:type="spellEnd"/>
      <w:r w:rsidRPr="00183C4C">
        <w:rPr>
          <w:rFonts w:asciiTheme="minorHAnsi" w:eastAsia="SimSun" w:hAnsiTheme="minorHAnsi" w:cstheme="minorHAnsi"/>
          <w:kern w:val="24"/>
          <w:sz w:val="20"/>
          <w:szCs w:val="20"/>
          <w:lang w:val="fr-FR" w:bidi="fr-FR"/>
        </w:rPr>
        <w:t xml:space="preserve"> </w:t>
      </w:r>
      <w:proofErr w:type="spellStart"/>
      <w:r w:rsidRPr="00183C4C">
        <w:rPr>
          <w:rFonts w:asciiTheme="minorHAnsi" w:eastAsia="SimSun" w:hAnsiTheme="minorHAnsi" w:cstheme="minorHAnsi"/>
          <w:kern w:val="24"/>
          <w:sz w:val="20"/>
          <w:szCs w:val="20"/>
          <w:lang w:val="fr-FR" w:bidi="fr-FR"/>
        </w:rPr>
        <w:t>FibreCycle</w:t>
      </w:r>
      <w:proofErr w:type="spellEnd"/>
      <w:r w:rsidRPr="00183C4C">
        <w:rPr>
          <w:rFonts w:asciiTheme="minorHAnsi" w:eastAsia="SimSun" w:hAnsiTheme="minorHAnsi" w:cstheme="minorHAnsi"/>
          <w:kern w:val="24"/>
          <w:sz w:val="20"/>
          <w:szCs w:val="20"/>
          <w:lang w:val="fr-FR" w:bidi="fr-FR"/>
        </w:rPr>
        <w:t xml:space="preserve">. En revanche, la structure en feuille d’aluminium à ultra-haute barrière non fabriquée par BOBST a l’impact le plus élevé dans toutes les catégories. </w:t>
      </w:r>
    </w:p>
    <w:p w14:paraId="44443101" w14:textId="3DA94C72" w:rsidR="00183C4C" w:rsidRPr="00183C4C" w:rsidRDefault="00183C4C" w:rsidP="00183C4C">
      <w:pPr>
        <w:spacing w:after="160" w:line="259" w:lineRule="auto"/>
        <w:rPr>
          <w:rFonts w:asciiTheme="minorHAnsi" w:eastAsia="SimSun" w:hAnsiTheme="minorHAnsi" w:cstheme="minorHAnsi"/>
          <w:kern w:val="24"/>
          <w:sz w:val="20"/>
          <w:szCs w:val="20"/>
          <w:lang w:val="fr-FR" w:bidi="th-TH"/>
        </w:rPr>
      </w:pPr>
      <w:r w:rsidRPr="00183C4C">
        <w:rPr>
          <w:rFonts w:asciiTheme="minorHAnsi" w:eastAsia="SimSun" w:hAnsiTheme="minorHAnsi" w:cstheme="minorHAnsi"/>
          <w:kern w:val="24"/>
          <w:sz w:val="20"/>
          <w:szCs w:val="20"/>
          <w:lang w:val="fr-FR" w:bidi="fr-FR"/>
        </w:rPr>
        <w:t xml:space="preserve">L’étude confirme que les solutions </w:t>
      </w:r>
      <w:proofErr w:type="spellStart"/>
      <w:r w:rsidRPr="00183C4C">
        <w:rPr>
          <w:rFonts w:asciiTheme="minorHAnsi" w:eastAsia="SimSun" w:hAnsiTheme="minorHAnsi" w:cstheme="minorHAnsi"/>
          <w:kern w:val="24"/>
          <w:sz w:val="20"/>
          <w:szCs w:val="20"/>
          <w:lang w:val="fr-FR" w:bidi="fr-FR"/>
        </w:rPr>
        <w:t>oneBARRIER</w:t>
      </w:r>
      <w:proofErr w:type="spellEnd"/>
      <w:r w:rsidRPr="00183C4C">
        <w:rPr>
          <w:rFonts w:asciiTheme="minorHAnsi" w:eastAsia="SimSun" w:hAnsiTheme="minorHAnsi" w:cstheme="minorHAnsi"/>
          <w:kern w:val="24"/>
          <w:sz w:val="20"/>
          <w:szCs w:val="20"/>
          <w:lang w:val="fr-FR" w:bidi="fr-FR"/>
        </w:rPr>
        <w:t xml:space="preserve"> </w:t>
      </w:r>
      <w:proofErr w:type="spellStart"/>
      <w:r w:rsidRPr="00183C4C">
        <w:rPr>
          <w:rFonts w:asciiTheme="minorHAnsi" w:eastAsia="SimSun" w:hAnsiTheme="minorHAnsi" w:cstheme="minorHAnsi"/>
          <w:kern w:val="24"/>
          <w:sz w:val="20"/>
          <w:szCs w:val="20"/>
          <w:lang w:val="fr-FR" w:bidi="fr-FR"/>
        </w:rPr>
        <w:t>PrimeCycle</w:t>
      </w:r>
      <w:proofErr w:type="spellEnd"/>
      <w:r w:rsidRPr="00183C4C">
        <w:rPr>
          <w:rFonts w:asciiTheme="minorHAnsi" w:eastAsia="SimSun" w:hAnsiTheme="minorHAnsi" w:cstheme="minorHAnsi"/>
          <w:kern w:val="24"/>
          <w:sz w:val="20"/>
          <w:szCs w:val="20"/>
          <w:lang w:val="fr-FR" w:bidi="fr-FR"/>
        </w:rPr>
        <w:t xml:space="preserve"> et </w:t>
      </w:r>
      <w:proofErr w:type="spellStart"/>
      <w:r w:rsidRPr="00183C4C">
        <w:rPr>
          <w:rFonts w:asciiTheme="minorHAnsi" w:eastAsia="SimSun" w:hAnsiTheme="minorHAnsi" w:cstheme="minorHAnsi"/>
          <w:kern w:val="24"/>
          <w:sz w:val="20"/>
          <w:szCs w:val="20"/>
          <w:lang w:val="fr-FR" w:bidi="fr-FR"/>
        </w:rPr>
        <w:t>FibreCycle</w:t>
      </w:r>
      <w:proofErr w:type="spellEnd"/>
      <w:r w:rsidRPr="00183C4C">
        <w:rPr>
          <w:rFonts w:asciiTheme="minorHAnsi" w:eastAsia="SimSun" w:hAnsiTheme="minorHAnsi" w:cstheme="minorHAnsi"/>
          <w:kern w:val="24"/>
          <w:sz w:val="20"/>
          <w:szCs w:val="20"/>
          <w:lang w:val="fr-FR" w:bidi="fr-FR"/>
        </w:rPr>
        <w:t xml:space="preserve"> ont un impact environnemental plus faible que les solutions non recyclables existantes. </w:t>
      </w:r>
      <w:proofErr w:type="spellStart"/>
      <w:r w:rsidRPr="00183C4C">
        <w:rPr>
          <w:rFonts w:asciiTheme="minorHAnsi" w:eastAsia="SimSun" w:hAnsiTheme="minorHAnsi" w:cstheme="minorHAnsi"/>
          <w:kern w:val="24"/>
          <w:sz w:val="20"/>
          <w:szCs w:val="20"/>
          <w:lang w:val="fr-FR" w:bidi="fr-FR"/>
        </w:rPr>
        <w:t>oneBARRIER</w:t>
      </w:r>
      <w:proofErr w:type="spellEnd"/>
      <w:r w:rsidRPr="00183C4C">
        <w:rPr>
          <w:rFonts w:asciiTheme="minorHAnsi" w:eastAsia="SimSun" w:hAnsiTheme="minorHAnsi" w:cstheme="minorHAnsi"/>
          <w:kern w:val="24"/>
          <w:sz w:val="20"/>
          <w:szCs w:val="20"/>
          <w:lang w:val="fr-FR" w:bidi="fr-FR"/>
        </w:rPr>
        <w:t xml:space="preserve"> offre une alternative complète et crédible basée sur les critères clés d’un emballage durable, viable et conforme aux réglementations. </w:t>
      </w:r>
    </w:p>
    <w:p w14:paraId="1DDDE600" w14:textId="77777777" w:rsidR="00DE67A9" w:rsidRPr="00606729" w:rsidRDefault="00DE67A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99BB" w14:textId="77777777" w:rsidR="005872A2" w:rsidRDefault="005872A2" w:rsidP="00BB5BE9">
      <w:pPr>
        <w:spacing w:line="240" w:lineRule="auto"/>
      </w:pPr>
      <w:r>
        <w:separator/>
      </w:r>
    </w:p>
  </w:endnote>
  <w:endnote w:type="continuationSeparator" w:id="0">
    <w:p w14:paraId="4DF2634C" w14:textId="77777777" w:rsidR="005872A2" w:rsidRDefault="005872A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84CD0" w14:textId="77777777" w:rsidR="005872A2" w:rsidRDefault="005872A2" w:rsidP="00BB5BE9">
      <w:pPr>
        <w:spacing w:line="240" w:lineRule="auto"/>
      </w:pPr>
      <w:r>
        <w:separator/>
      </w:r>
    </w:p>
  </w:footnote>
  <w:footnote w:type="continuationSeparator" w:id="0">
    <w:p w14:paraId="36FFE77A" w14:textId="77777777" w:rsidR="005872A2" w:rsidRDefault="005872A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B0A06"/>
    <w:multiLevelType w:val="multilevel"/>
    <w:tmpl w:val="C4A8E0D6"/>
    <w:numStyleLink w:val="Style1"/>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5"/>
  </w:num>
  <w:num w:numId="12" w16cid:durableId="635336788">
    <w:abstractNumId w:val="16"/>
  </w:num>
  <w:num w:numId="13" w16cid:durableId="1217163480">
    <w:abstractNumId w:val="11"/>
  </w:num>
  <w:num w:numId="14" w16cid:durableId="279997805">
    <w:abstractNumId w:val="10"/>
  </w:num>
  <w:num w:numId="15" w16cid:durableId="581255530">
    <w:abstractNumId w:val="12"/>
  </w:num>
  <w:num w:numId="16" w16cid:durableId="925384330">
    <w:abstractNumId w:val="17"/>
  </w:num>
  <w:num w:numId="17" w16cid:durableId="295335604">
    <w:abstractNumId w:val="13"/>
  </w:num>
  <w:num w:numId="18" w16cid:durableId="1056393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0A36"/>
    <w:rsid w:val="000019C4"/>
    <w:rsid w:val="00015659"/>
    <w:rsid w:val="000200EC"/>
    <w:rsid w:val="0002381F"/>
    <w:rsid w:val="00043F57"/>
    <w:rsid w:val="0007503E"/>
    <w:rsid w:val="000A31C9"/>
    <w:rsid w:val="000B7CE1"/>
    <w:rsid w:val="00103DF2"/>
    <w:rsid w:val="00106584"/>
    <w:rsid w:val="00122852"/>
    <w:rsid w:val="0012287C"/>
    <w:rsid w:val="001614BE"/>
    <w:rsid w:val="00162ACB"/>
    <w:rsid w:val="00162F04"/>
    <w:rsid w:val="00164521"/>
    <w:rsid w:val="00165731"/>
    <w:rsid w:val="001740D8"/>
    <w:rsid w:val="00183C4C"/>
    <w:rsid w:val="00185617"/>
    <w:rsid w:val="00193DE7"/>
    <w:rsid w:val="001978E2"/>
    <w:rsid w:val="001B00E3"/>
    <w:rsid w:val="001B2225"/>
    <w:rsid w:val="001B4282"/>
    <w:rsid w:val="001B75B1"/>
    <w:rsid w:val="001F046A"/>
    <w:rsid w:val="00221442"/>
    <w:rsid w:val="0027064C"/>
    <w:rsid w:val="00280DC9"/>
    <w:rsid w:val="0029094B"/>
    <w:rsid w:val="003F1F32"/>
    <w:rsid w:val="003F5EAA"/>
    <w:rsid w:val="00406778"/>
    <w:rsid w:val="004257F2"/>
    <w:rsid w:val="00441257"/>
    <w:rsid w:val="00441D37"/>
    <w:rsid w:val="004701B5"/>
    <w:rsid w:val="004711C7"/>
    <w:rsid w:val="00497781"/>
    <w:rsid w:val="004A4339"/>
    <w:rsid w:val="004C2489"/>
    <w:rsid w:val="004C28DE"/>
    <w:rsid w:val="004F3549"/>
    <w:rsid w:val="00540DC4"/>
    <w:rsid w:val="00546823"/>
    <w:rsid w:val="005872A2"/>
    <w:rsid w:val="005A48B2"/>
    <w:rsid w:val="005B28F0"/>
    <w:rsid w:val="005B5E46"/>
    <w:rsid w:val="005C7A5F"/>
    <w:rsid w:val="00606729"/>
    <w:rsid w:val="00607A8B"/>
    <w:rsid w:val="0064617D"/>
    <w:rsid w:val="00653BCB"/>
    <w:rsid w:val="006619E8"/>
    <w:rsid w:val="00672351"/>
    <w:rsid w:val="00681020"/>
    <w:rsid w:val="006A1224"/>
    <w:rsid w:val="006A45F6"/>
    <w:rsid w:val="006E0625"/>
    <w:rsid w:val="007021AD"/>
    <w:rsid w:val="007054D8"/>
    <w:rsid w:val="00717E14"/>
    <w:rsid w:val="00744CD0"/>
    <w:rsid w:val="0074688B"/>
    <w:rsid w:val="00750E45"/>
    <w:rsid w:val="00776FFB"/>
    <w:rsid w:val="007D2FE3"/>
    <w:rsid w:val="007E6A57"/>
    <w:rsid w:val="0081574B"/>
    <w:rsid w:val="00831A2A"/>
    <w:rsid w:val="008475F1"/>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7773A"/>
    <w:rsid w:val="00AB644E"/>
    <w:rsid w:val="00B073A5"/>
    <w:rsid w:val="00B32F6D"/>
    <w:rsid w:val="00B847F7"/>
    <w:rsid w:val="00B943E2"/>
    <w:rsid w:val="00BA155B"/>
    <w:rsid w:val="00BB5A31"/>
    <w:rsid w:val="00BB5BE9"/>
    <w:rsid w:val="00BF18CF"/>
    <w:rsid w:val="00C20D00"/>
    <w:rsid w:val="00C26C45"/>
    <w:rsid w:val="00C365C9"/>
    <w:rsid w:val="00C37CAD"/>
    <w:rsid w:val="00C71CF2"/>
    <w:rsid w:val="00C805C3"/>
    <w:rsid w:val="00CA53AB"/>
    <w:rsid w:val="00CC7F9D"/>
    <w:rsid w:val="00D97770"/>
    <w:rsid w:val="00DB1DC2"/>
    <w:rsid w:val="00DE5DD2"/>
    <w:rsid w:val="00DE67A9"/>
    <w:rsid w:val="00DF7B45"/>
    <w:rsid w:val="00E071DB"/>
    <w:rsid w:val="00E11997"/>
    <w:rsid w:val="00E2330A"/>
    <w:rsid w:val="00E30F10"/>
    <w:rsid w:val="00E542C8"/>
    <w:rsid w:val="00EB4F02"/>
    <w:rsid w:val="00EB7CAB"/>
    <w:rsid w:val="00EC0061"/>
    <w:rsid w:val="00EE31B1"/>
    <w:rsid w:val="00F03D8B"/>
    <w:rsid w:val="00F36CF1"/>
    <w:rsid w:val="00F55D53"/>
    <w:rsid w:val="00F60559"/>
    <w:rsid w:val="00F7100D"/>
    <w:rsid w:val="00F80BE3"/>
    <w:rsid w:val="00F81F8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numbering" w:customStyle="1" w:styleId="Style1">
    <w:name w:val="Style1"/>
    <w:uiPriority w:val="99"/>
    <w:rsid w:val="00183C4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1144</Words>
  <Characters>6523</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2025-02-03T13:18:00Z</dcterms:created>
  <dcterms:modified xsi:type="dcterms:W3CDTF">2025-02-03T13:19:00Z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